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jc w:val="center"/>
        <w:rPr>
          <w:rFonts w:ascii="Times New Roman" w:hAnsi="Times New Roman" w:cs="Times New Roman"/>
          <w:b w:val="1"/>
          <w:sz w:val="28"/>
          <w:szCs w:val="28"/>
        </w:rPr>
      </w:pPr>
      <w:r>
        <w:rPr>
          <w:rFonts w:ascii="Times New Roman" w:hAnsi="Times New Roman" w:cs="Times New Roman"/>
          <w:b w:val="1"/>
          <w:sz w:val="32"/>
          <w:szCs w:val="28"/>
        </w:rPr>
        <w:t>Протокол про підсумки реєстрації</w:t>
      </w:r>
    </w:p>
    <w:p>
      <w:pPr>
        <w:spacing w:after="0" w:beforeAutospacing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зборах власників облігацій емітента</w:t>
      </w:r>
    </w:p>
    <w:p>
      <w:pPr>
        <w:spacing w:after="0" w:beforeAutospacing="0" w:afterAutospacing="0"/>
        <w:jc w:val="center"/>
        <w:rPr>
          <w:rFonts w:ascii="Times New Roman" w:hAnsi="Times New Roman" w:cs="Times New Roman"/>
          <w:i w:val="1"/>
          <w:sz w:val="24"/>
          <w:szCs w:val="24"/>
          <w:lang w:val="en-US"/>
        </w:rPr>
      </w:pPr>
      <w:bookmarkStart w:id="0" w:name="_Hlk71659140"/>
      <w:r>
        <w:rPr>
          <w:rFonts w:ascii="Times New Roman" w:hAnsi="Times New Roman" w:cs="Times New Roman"/>
          <w:i w:val="1"/>
          <w:sz w:val="24"/>
          <w:szCs w:val="24"/>
          <w:lang w:val="en-US"/>
        </w:rPr>
        <w:t>ТОВАРИСТВО З ОБМЕЖЕНОЮ ВІДПОВІДАЛЬНІСТЮ "ФЛОРЕАЛЬ-2005"</w:t>
      </w:r>
    </w:p>
    <w:p>
      <w:pPr>
        <w:spacing w:after="0" w:beforeAutospacing="0" w:afterAutospacing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(код за ЄДРПОУ </w:t>
      </w:r>
      <w:r>
        <w:rPr>
          <w:rFonts w:ascii="Times New Roman" w:hAnsi="Times New Roman" w:cs="Times New Roman"/>
          <w:i w:val="1"/>
          <w:sz w:val="24"/>
          <w:szCs w:val="24"/>
          <w:lang w:val="en-US"/>
        </w:rPr>
        <w:t>33674447</w:t>
      </w:r>
      <w:r>
        <w:rPr>
          <w:rFonts w:ascii="Times New Roman" w:hAnsi="Times New Roman" w:cs="Times New Roman"/>
          <w:i w:val="1"/>
          <w:sz w:val="24"/>
          <w:szCs w:val="24"/>
          <w:lang w:val="en-US"/>
        </w:rPr>
        <w:t>)</w:t>
      </w:r>
    </w:p>
    <w:p>
      <w:pPr>
        <w:spacing w:after="0" w:beforeAutospacing="0" w:afterAutospacing="0"/>
        <w:jc w:val="center"/>
        <w:rPr>
          <w:rFonts w:ascii="Times New Roman" w:hAnsi="Times New Roman" w:cs="Times New Roman"/>
          <w:sz w:val="24"/>
          <w:szCs w:val="24"/>
        </w:rPr>
      </w:pPr>
      <w:bookmarkEnd w:id="0"/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ook w:val="04A0"/>
      </w:tblPr>
      <w:tblGrid/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та час початку реєстрації:</w:t>
            </w: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02.06.2026 10:00</w:t>
            </w: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та час закінчення реєстрації:</w:t>
            </w: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02.06.2026 12:00</w:t>
            </w: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проводилась для участі у зборах власників облігацій наступних випусків цінних паперів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lang w:val="en-US"/>
              </w:rPr>
              <w:t>ISIN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та сер</w:t>
            </w:r>
            <w:r>
              <w:rPr>
                <w:rFonts w:ascii="Times New Roman" w:hAnsi="Times New Roman"/>
                <w:sz w:val="24"/>
              </w:rPr>
              <w:t>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UA5000000191 (серія В)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UA5000001140 (серія L)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UA5000000647 (серія K)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UA5000001553 (серія J)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UA5000001728 (серія I)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UA5000001132 (серія D)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UA5000000639 (серія C)</w:t>
            </w:r>
          </w:p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</w:rPr>
            </w:pP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Особа, відповідальна за проведення зборів</w:t>
            </w: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ПАТ "НДУ"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код за ЄДРПОУ: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30370711</w:t>
            </w:r>
          </w:p>
        </w:tc>
      </w:tr>
      <w:tr>
        <w:tc>
          <w:tcPr>
            <w:tcW w:w="4395" w:type="dxa"/>
          </w:tcPr>
          <w:p/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 (особи) уповноважена взаємодіяти з авторизованою електронною системою</w:t>
            </w:r>
          </w:p>
        </w:tc>
        <w:tc>
          <w:tcPr>
            <w:tcW w:w="5234" w:type="dxa"/>
          </w:tcPr>
          <w:p/>
          <w:p>
            <w:pPr>
              <w:rPr>
                <w:i w:val="1"/>
                <w:lang w:val="en-US"/>
              </w:rPr>
            </w:pPr>
            <w:r>
              <w:rPr>
                <w:i w:val="1"/>
                <w:lang w:val="en-US"/>
              </w:rPr>
              <w:t>Сапанчук Світлана Петрівна</w:t>
            </w:r>
          </w:p>
          <w:p>
            <w:pPr>
              <w:rPr>
                <w:i w:val="1"/>
                <w:lang w:val="en-US"/>
              </w:rPr>
            </w:pPr>
            <w:r>
              <w:rPr>
                <w:i w:val="1"/>
                <w:lang w:val="en-US"/>
              </w:rPr>
              <w:t>Яремійчук Іванна Степанівна</w:t>
            </w:r>
          </w:p>
          <w:p>
            <w:pPr>
              <w:rPr>
                <w:lang w:val="ru-RU"/>
              </w:rPr>
            </w:pP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та час формування авторизованою електронною системою Протоколу про підсумки реєстрації</w:t>
            </w:r>
          </w:p>
        </w:tc>
        <w:tc>
          <w:tcPr>
            <w:tcW w:w="5234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02.06.2026 12:04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rPr>
          <w:rFonts w:ascii="Times New Roman" w:hAnsi="Times New Roman" w:cs="Times New Roman"/>
          <w:b w:val="1"/>
          <w:sz w:val="28"/>
          <w:szCs w:val="24"/>
        </w:rPr>
      </w:pPr>
      <w:r>
        <w:rPr>
          <w:rFonts w:ascii="Times New Roman" w:hAnsi="Times New Roman" w:cs="Times New Roman"/>
          <w:b w:val="1"/>
          <w:sz w:val="28"/>
          <w:szCs w:val="24"/>
        </w:rPr>
        <w:t>Результати реєстрації:</w:t>
      </w: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UA5000001728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706 170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65.00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211085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UA5000001728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UA5000001553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601 220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65.00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211086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UA5000001553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UA5000001140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464 400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75.00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12 924 075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211087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UA5000001140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UA5000001132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565 110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125.00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41 456 250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211084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UA5000001132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"БУДІВЕЛЬНИК"  , 23319496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3 042 500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"БУДІВЕЛЬНИК"  , 41061232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12 725 000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15 767 500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UA5000000647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290 675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110.00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31 974 250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211088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UA5000000647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"БУДІВЕЛЬНИК"  , 41061232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4 283 840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"БУДІВЕЛЬНИК"  , 23319496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12 219 240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"ІНТЕНСИВНИК"  , 43263434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4 400 000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20 903 080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UA5000000639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596 590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125.00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50 895 000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211083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UA5000000639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"БУДІВЕЛЬНИК"  , 23319496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6 920 250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"БУДІВЕЛЬНИК"  , 41061232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11 032 125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Федоров Сергій Олексійович , 2314916056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592 500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18 544 875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2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ayout w:type="autofit"/>
        <w:tblLook w:val="04A0"/>
      </w:tblPr>
      <w:tblGrid/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Випуск цінних паперів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UA5000000191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ТОВ "ФЛОРЕАЛЬ-2005"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 серія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загальна кількість ЦП у випуску: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1 032 620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номінальна вартість 1 ЦП: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>125.00 UAH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 загальна кількість голосів за випуском: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>104 521 250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Реєстрація здійснювалась на підставі:</w:t>
            </w:r>
          </w:p>
        </w:tc>
        <w:tc>
          <w:tcPr>
            <w:tcW w:w="636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Переліку власників облігацій, які мають право на участь у зборах, </w:t>
            </w:r>
            <w:r>
              <w:rPr>
                <w:rFonts w:ascii="Times New Roman" w:hAnsi="Times New Roman" w:cs="Times New Roman"/>
                <w:i w:val="1"/>
                <w:sz w:val="24"/>
                <w:szCs w:val="24"/>
                <w:u w:val="single"/>
                <w:lang w:val="ru-RU"/>
              </w:rPr>
              <w:t>Реквізити реєстра, вих. № 211081 від 29.05.2026 складеного станом на 28.05.2026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власників облігацій (їх представників), які зареєструвалися для участі у зборах власників облігацій за випуском цінних паперів </w:t>
      </w:r>
      <w:r>
        <w:rPr>
          <w:rFonts w:ascii="Times New Roman" w:hAnsi="Times New Roman" w:cs="Times New Roman"/>
          <w:sz w:val="24"/>
          <w:szCs w:val="24"/>
        </w:rPr>
        <w:t>UA5000000191</w:t>
      </w:r>
    </w:p>
    <w:tbl>
      <w:tblPr>
        <w:tblStyle w:val="T2"/>
        <w:tblW w:w="0" w:type="auto"/>
        <w:tblInd w:w="-10" w:type="dxa"/>
        <w:tblLayout w:type="autofit"/>
        <w:tblLook w:val="04A0"/>
      </w:tblPr>
      <w:tblGrid/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власника ЦП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Інформація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представника власника ЦП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голосів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"БУДІВЕЛЬНИК"  , 41061232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38 535 000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АКЦІОНЕРНЕ ТОВАРИСТВО "ЗАКРИТИЙ НЕДИВЕРСИФІКОВАНИЙ ВЕНЧУРНИЙ КОРПОРАТИВНИЙ ІНВЕСТИЦІЙНИЙ ФОНД "ТУМАННИЙ АЛЬБІОН"  , 43336895, ЦП за законом* не дають права голосу</w:t>
            </w:r>
          </w:p>
        </w:tc>
        <w:tc>
          <w:tcPr>
            <w:tcW w:w="3543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Іваненко Євген Володимирович, 3095807752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7366" w:type="dxa"/>
            <w:gridSpan w:val="3"/>
          </w:tcPr>
          <w:p>
            <w:r>
              <w:t>Разом голосів:</w:t>
            </w:r>
          </w:p>
        </w:tc>
        <w:tc>
          <w:tcPr>
            <w:tcW w:w="2263" w:type="dxa"/>
          </w:tcPr>
          <w:p>
            <w:pP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1"/>
                <w:sz w:val="24"/>
                <w:szCs w:val="24"/>
                <w:lang w:val="en-US"/>
              </w:rPr>
              <w:t>38 535 000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</w:rPr>
      </w:pPr>
    </w:p>
    <w:p>
      <w:pPr>
        <w:spacing w:after="0" w:beforeAutospacing="0" w:afterAutospacing="0"/>
        <w:rPr>
          <w:rFonts w:ascii="Times New Roman" w:hAnsi="Times New Roman" w:cs="Times New Roman"/>
          <w:b w:val="1"/>
          <w:sz w:val="28"/>
          <w:szCs w:val="28"/>
        </w:rPr>
      </w:pPr>
      <w:r>
        <w:rPr>
          <w:rFonts w:ascii="Times New Roman" w:hAnsi="Times New Roman" w:cs="Times New Roman"/>
          <w:b w:val="1"/>
          <w:sz w:val="28"/>
          <w:szCs w:val="28"/>
        </w:rPr>
        <w:t>Інформація щодо правомочності зборів власників облігацій:</w:t>
      </w:r>
    </w:p>
    <w:tbl>
      <w:tblPr>
        <w:tblStyle w:val="T2"/>
        <w:tblW w:w="0" w:type="auto"/>
        <w:tblLook w:val="04A0"/>
      </w:tblPr>
      <w:tblGrid/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ISIN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загальн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кількість голосів за випуском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загальн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кількість голосів власників, шо зареєструвались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відсоток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кворум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UA5000001728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0.00 %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UA5000001553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0.00 %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UA5000001140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12 924 075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0.00 %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UA5000001132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41 456 250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15 767 500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38.03 %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UA5000000647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31 974 250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20 903 080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65.37 %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UA5000000639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50 895 000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18 544 875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36.43 %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21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UA5000000191</w:t>
            </w:r>
          </w:p>
        </w:tc>
        <w:tc>
          <w:tcPr>
            <w:tcW w:w="267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104 521 250</w:t>
            </w:r>
          </w:p>
        </w:tc>
        <w:tc>
          <w:tcPr>
            <w:tcW w:w="2472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38 535 000</w:t>
            </w:r>
          </w:p>
        </w:tc>
        <w:tc>
          <w:tcPr>
            <w:tcW w:w="1253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36.86 %</w:t>
            </w:r>
          </w:p>
        </w:tc>
        <w:tc>
          <w:tcPr>
            <w:tcW w:w="1109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hideMark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Ні</w:t>
            </w:r>
          </w:p>
        </w:tc>
      </w:tr>
      <w:tr>
        <w:tc>
          <w:tcPr>
            <w:tcW w:w="9629" w:type="dxa"/>
            <w:gridSpan w:val="5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b w:val="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1"/>
                <w:sz w:val="28"/>
                <w:szCs w:val="28"/>
              </w:rPr>
              <w:t xml:space="preserve">Збори власників облігацій є </w:t>
            </w:r>
            <w:r>
              <w:rPr>
                <w:rFonts w:ascii="Times New Roman" w:hAnsi="Times New Roman" w:cs="Times New Roman"/>
                <w:b w:val="1"/>
                <w:i w:val="1"/>
                <w:sz w:val="28"/>
                <w:szCs w:val="28"/>
              </w:rPr>
              <w:t>не правомочними</w:t>
            </w:r>
          </w:p>
        </w:tc>
      </w:tr>
    </w:tbl>
    <w:p>
      <w:pPr>
        <w:spacing w:after="0" w:beforeAutospacing="0" w:afterAutospacing="0"/>
        <w:rPr>
          <w:rFonts w:ascii="Times New Roman" w:hAnsi="Times New Roman" w:cs="Times New Roman"/>
          <w:sz w:val="28"/>
          <w:szCs w:val="28"/>
        </w:rPr>
      </w:pPr>
    </w:p>
    <w:p>
      <w:pPr>
        <w:spacing w:after="0" w:beforeAutospacing="0" w:afterAutospacing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* - відповідно до  ч. 3 ст. 111 Закону України «Про ринки капіталу та організовані товарні ринки»</w:t>
      </w:r>
    </w:p>
    <w:p>
      <w:pPr>
        <w:spacing w:after="0" w:beforeAutospacing="0" w:afterAutospacing="0"/>
        <w:rPr>
          <w:rFonts w:ascii="Times New Roman" w:hAnsi="Times New Roman" w:cs="Times New Roman"/>
          <w:sz w:val="28"/>
          <w:szCs w:val="28"/>
        </w:rPr>
      </w:pPr>
    </w:p>
    <w:p>
      <w:pPr>
        <w:spacing w:after="0" w:beforeAutospacing="0" w:afterAutospacing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>Документ підписано кваліфікованим електронним підписом уповноваженої особи ПАТ «НДУ»</w:t>
      </w: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beforeAutospacing="0" w:afterAutospacing="0"/>
        <w:rPr>
          <w:rFonts w:ascii="Times New Roman" w:hAnsi="Times New Roman" w:cs="Times New Roman"/>
          <w:sz w:val="24"/>
          <w:szCs w:val="24"/>
          <w:lang w:val="en-US"/>
        </w:rPr>
      </w:pPr>
    </w:p>
    <w:sectPr>
      <w:type w:val="nextPage"/>
      <w:pgSz w:w="11906" w:h="16838" w:code="0"/>
      <w:pgMar w:left="1417" w:right="850" w:top="850" w:bottom="85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HAnsi"/>
        <w:sz w:val="22"/>
        <w:szCs w:val="2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7"/>
    <w:qFormat/>
    <w:pPr>
      <w:keepNext w:val="1"/>
      <w:keepLines w:val="1"/>
      <w:spacing w:before="240" w:after="0" w:beforeAutospacing="0" w:afterAutospacing="0"/>
      <w:outlineLvl w:val="0"/>
    </w:pPr>
    <w:rPr>
      <w:rFonts w:asciiTheme="majorHAnsi" w:hAnsiTheme="majorHAnsi" w:cstheme="majorBidi" w:eastAsiaTheme="majorEastAsia"/>
      <w:color w:val="2E75B5" w:themeColor="accent1" w:themeShade="BF"/>
      <w:sz w:val="32"/>
      <w:szCs w:val="32"/>
    </w:rPr>
  </w:style>
  <w:style w:type="paragraph" w:styleId="P2">
    <w:name w:val="annotation text"/>
    <w:basedOn w:val="P0"/>
    <w:link w:val="C4"/>
    <w:semiHidden/>
    <w:pPr>
      <w:spacing w:lineRule="auto" w:line="240" w:beforeAutospacing="0" w:afterAutospacing="0"/>
    </w:pPr>
    <w:rPr>
      <w:sz w:val="20"/>
      <w:szCs w:val="20"/>
    </w:rPr>
  </w:style>
  <w:style w:type="paragraph" w:styleId="P3">
    <w:name w:val="annotation subject"/>
    <w:basedOn w:val="P2"/>
    <w:next w:val="P2"/>
    <w:link w:val="C5"/>
    <w:semiHidden/>
    <w:pPr/>
    <w:rPr>
      <w:b w:val="1"/>
      <w:bCs w:val="1"/>
    </w:rPr>
  </w:style>
  <w:style w:type="paragraph" w:styleId="P4">
    <w:name w:val="Balloon Text"/>
    <w:basedOn w:val="P0"/>
    <w:link w:val="C6"/>
    <w:semiHidden/>
    <w:pPr>
      <w:spacing w:lineRule="auto" w:line="240" w:after="0" w:beforeAutospacing="0" w:afterAutospacing="0"/>
    </w:pPr>
    <w:rPr>
      <w:rFonts w:ascii="Segoe UI" w:hAnsi="Segoe UI" w:cs="Segoe UI"/>
      <w:sz w:val="18"/>
      <w:szCs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annotation reference"/>
    <w:basedOn w:val="C0"/>
    <w:semiHidden/>
    <w:rPr>
      <w:sz w:val="16"/>
      <w:szCs w:val="16"/>
    </w:rPr>
  </w:style>
  <w:style w:type="character" w:styleId="C4">
    <w:name w:val="Текст примечания Знак"/>
    <w:basedOn w:val="C0"/>
    <w:link w:val="P2"/>
    <w:semiHidden/>
    <w:rPr>
      <w:sz w:val="20"/>
      <w:szCs w:val="20"/>
    </w:rPr>
  </w:style>
  <w:style w:type="character" w:styleId="C5">
    <w:name w:val="Тема примечания Знак"/>
    <w:basedOn w:val="C4"/>
    <w:link w:val="P3"/>
    <w:semiHidden/>
    <w:rPr>
      <w:b w:val="1"/>
      <w:bCs w:val="1"/>
      <w:sz w:val="20"/>
      <w:szCs w:val="20"/>
    </w:rPr>
  </w:style>
  <w:style w:type="character" w:styleId="C6">
    <w:name w:val="Текст выноски Знак"/>
    <w:basedOn w:val="C0"/>
    <w:link w:val="P4"/>
    <w:semiHidden/>
    <w:rPr>
      <w:rFonts w:ascii="Segoe UI" w:hAnsi="Segoe UI" w:cs="Segoe UI"/>
      <w:sz w:val="18"/>
      <w:szCs w:val="18"/>
    </w:rPr>
  </w:style>
  <w:style w:type="character" w:styleId="C7">
    <w:name w:val="Заголовок 1 Знак"/>
    <w:basedOn w:val="C0"/>
    <w:link w:val="P1"/>
    <w:rPr>
      <w:rFonts w:asciiTheme="majorHAnsi" w:hAnsiTheme="majorHAnsi" w:cstheme="majorBidi" w:eastAsiaTheme="majorEastAsia"/>
      <w:color w:val="2E75B5" w:themeColor="accent1" w:themeShade="BF"/>
      <w:sz w:val="32"/>
      <w:szCs w:val="32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1e72d-3d48-4146-b528-5ef54b0d5865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API/22.2.3.0</Application>
  <AppVersion>22.2</AppVersion>
  <Company>NDU</Company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Panchugin Dmytro</dc:creator>
  <dcterms:created xsi:type="dcterms:W3CDTF">2021-01-18T09:49:00Z</dcterms:created>
  <dcterms:modified xsi:type="dcterms:W3CDTF">2026-06-02T09:04:22Z</dcterms:modified>
  <cp:revision>88</cp:revision>
</cp:coreProperties>
</file>